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D613508" w14:textId="0CC040C1" w:rsidR="000F2760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28"/>
          <w:szCs w:val="36"/>
        </w:rPr>
      </w:pPr>
      <w:bookmarkStart w:id="0" w:name="_Hlk35009095"/>
      <w:bookmarkStart w:id="1" w:name="_Hlk35008909"/>
      <w:r w:rsidRPr="007C5948">
        <w:rPr>
          <w:rFonts w:asciiTheme="minorHAnsi" w:eastAsia="Source Sans Pro" w:hAnsiTheme="minorHAnsi" w:cstheme="minorHAnsi"/>
          <w:sz w:val="28"/>
          <w:szCs w:val="36"/>
        </w:rPr>
        <w:t xml:space="preserve">ICA </w:t>
      </w:r>
      <w:r w:rsidR="008F45E6" w:rsidRPr="007C5948">
        <w:rPr>
          <w:rFonts w:asciiTheme="minorHAnsi" w:eastAsia="Source Sans Pro" w:hAnsiTheme="minorHAnsi" w:cstheme="minorHAnsi"/>
          <w:sz w:val="28"/>
          <w:szCs w:val="36"/>
        </w:rPr>
        <w:t xml:space="preserve">Missouri </w:t>
      </w:r>
      <w:r w:rsidR="00052CC3">
        <w:rPr>
          <w:rFonts w:asciiTheme="minorHAnsi" w:eastAsia="Source Sans Pro" w:hAnsiTheme="minorHAnsi" w:cstheme="minorHAnsi"/>
          <w:sz w:val="28"/>
          <w:szCs w:val="36"/>
        </w:rPr>
        <w:t>–</w:t>
      </w:r>
      <w:r w:rsidR="008F45E6" w:rsidRPr="007C5948">
        <w:rPr>
          <w:rFonts w:asciiTheme="minorHAnsi" w:eastAsia="Source Sans Pro" w:hAnsiTheme="minorHAnsi" w:cstheme="minorHAnsi"/>
          <w:sz w:val="28"/>
          <w:szCs w:val="36"/>
        </w:rPr>
        <w:t xml:space="preserve"> </w:t>
      </w:r>
      <w:r w:rsidR="00052CC3">
        <w:rPr>
          <w:rFonts w:asciiTheme="minorHAnsi" w:eastAsia="Source Sans Pro" w:hAnsiTheme="minorHAnsi" w:cstheme="minorHAnsi"/>
          <w:sz w:val="28"/>
          <w:szCs w:val="36"/>
        </w:rPr>
        <w:t xml:space="preserve">MHTF </w:t>
      </w:r>
      <w:r w:rsidR="001F17FD">
        <w:rPr>
          <w:rFonts w:asciiTheme="minorHAnsi" w:eastAsia="Source Sans Pro" w:hAnsiTheme="minorHAnsi" w:cstheme="minorHAnsi"/>
          <w:sz w:val="28"/>
          <w:szCs w:val="36"/>
        </w:rPr>
        <w:t>Exit</w:t>
      </w:r>
      <w:r w:rsidR="006F36F9">
        <w:rPr>
          <w:rFonts w:asciiTheme="minorHAnsi" w:eastAsia="Source Sans Pro" w:hAnsiTheme="minorHAnsi" w:cstheme="minorHAnsi"/>
          <w:sz w:val="28"/>
          <w:szCs w:val="36"/>
        </w:rPr>
        <w:t xml:space="preserve"> – </w:t>
      </w:r>
      <w:r w:rsidR="006B3EC0">
        <w:rPr>
          <w:rFonts w:asciiTheme="minorHAnsi" w:eastAsia="Source Sans Pro" w:hAnsiTheme="minorHAnsi" w:cstheme="minorHAnsi"/>
          <w:sz w:val="28"/>
          <w:szCs w:val="36"/>
        </w:rPr>
        <w:t>HP/</w:t>
      </w:r>
      <w:r w:rsidR="006F36F9">
        <w:rPr>
          <w:rFonts w:asciiTheme="minorHAnsi" w:eastAsia="Source Sans Pro" w:hAnsiTheme="minorHAnsi" w:cstheme="minorHAnsi"/>
          <w:sz w:val="28"/>
          <w:szCs w:val="36"/>
        </w:rPr>
        <w:t xml:space="preserve">RRH </w:t>
      </w:r>
      <w:r w:rsidR="005A3475">
        <w:rPr>
          <w:rFonts w:asciiTheme="minorHAnsi" w:eastAsia="Source Sans Pro" w:hAnsiTheme="minorHAnsi" w:cstheme="minorHAnsi"/>
          <w:sz w:val="28"/>
          <w:szCs w:val="36"/>
        </w:rPr>
        <w:t>[FY202</w:t>
      </w:r>
      <w:r w:rsidR="00C12221">
        <w:rPr>
          <w:rFonts w:asciiTheme="minorHAnsi" w:eastAsia="Source Sans Pro" w:hAnsiTheme="minorHAnsi" w:cstheme="minorHAnsi"/>
          <w:sz w:val="28"/>
          <w:szCs w:val="36"/>
        </w:rPr>
        <w:t>6</w:t>
      </w:r>
      <w:r w:rsidR="005A3475">
        <w:rPr>
          <w:rFonts w:asciiTheme="minorHAnsi" w:eastAsia="Source Sans Pro" w:hAnsiTheme="minorHAnsi" w:cstheme="minorHAnsi"/>
          <w:sz w:val="28"/>
          <w:szCs w:val="36"/>
        </w:rPr>
        <w:t>]</w:t>
      </w:r>
      <w:r w:rsidR="00342CEB" w:rsidRPr="007C5948">
        <w:rPr>
          <w:rFonts w:asciiTheme="minorHAnsi" w:eastAsia="Source Sans Pro" w:hAnsiTheme="minorHAnsi" w:cstheme="minorHAnsi"/>
          <w:sz w:val="28"/>
          <w:szCs w:val="36"/>
        </w:rPr>
        <w:tab/>
      </w:r>
      <w:r w:rsidR="003F638E" w:rsidRPr="007C5948">
        <w:rPr>
          <w:rFonts w:asciiTheme="minorHAnsi" w:eastAsia="Source Sans Pro" w:hAnsiTheme="minorHAnsi" w:cstheme="minorHAnsi"/>
          <w:sz w:val="28"/>
          <w:szCs w:val="36"/>
        </w:rPr>
        <w:t>Adult</w:t>
      </w:r>
      <w:r w:rsidR="00DD0B38" w:rsidRPr="007C5948">
        <w:rPr>
          <w:rFonts w:asciiTheme="minorHAnsi" w:eastAsia="Source Sans Pro" w:hAnsiTheme="minorHAnsi" w:cstheme="minorHAnsi"/>
          <w:sz w:val="28"/>
          <w:szCs w:val="36"/>
        </w:rPr>
        <w:t>/</w:t>
      </w:r>
      <w:proofErr w:type="spellStart"/>
      <w:r w:rsidR="00DD0B38" w:rsidRPr="007C5948">
        <w:rPr>
          <w:rFonts w:asciiTheme="minorHAnsi" w:eastAsia="Source Sans Pro" w:hAnsiTheme="minorHAnsi" w:cstheme="minorHAnsi"/>
          <w:sz w:val="28"/>
          <w:szCs w:val="36"/>
        </w:rPr>
        <w:t>HoH</w:t>
      </w:r>
      <w:proofErr w:type="spellEnd"/>
    </w:p>
    <w:p w14:paraId="289F48E1" w14:textId="535A26FC" w:rsidR="00DE1C53" w:rsidRPr="00B007CF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r w:rsidRPr="00B007CF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75068FE0" w14:textId="77777777" w:rsidR="006B3EC0" w:rsidRPr="002D5448" w:rsidRDefault="006B3EC0" w:rsidP="006B3EC0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6B3EC0" w:rsidRPr="00D827A6" w14:paraId="0F7EAABA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7CA7B24" w14:textId="77777777" w:rsidR="006B3EC0" w:rsidRPr="00D827A6" w:rsidRDefault="006B3EC0" w:rsidP="00A620A1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DE2C3CF" w14:textId="77777777" w:rsidR="006B3EC0" w:rsidRPr="00D827A6" w:rsidRDefault="006B3EC0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096862D6" w14:textId="77777777" w:rsidR="006B3EC0" w:rsidRPr="00B007CF" w:rsidRDefault="006B3EC0" w:rsidP="006B3EC0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33"/>
        <w:gridCol w:w="3157"/>
        <w:gridCol w:w="2709"/>
        <w:gridCol w:w="3157"/>
        <w:gridCol w:w="1006"/>
      </w:tblGrid>
      <w:tr w:rsidR="006B3EC0" w:rsidRPr="00D827A6" w14:paraId="124332D7" w14:textId="77777777" w:rsidTr="00A620A1">
        <w:tc>
          <w:tcPr>
            <w:tcW w:w="0" w:type="auto"/>
          </w:tcPr>
          <w:p w14:paraId="04A4673D" w14:textId="77777777" w:rsidR="006B3EC0" w:rsidRPr="00D827A6" w:rsidRDefault="006B3EC0" w:rsidP="00A620A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32194B2E" w14:textId="77777777" w:rsidR="006B3EC0" w:rsidRPr="00D827A6" w:rsidRDefault="006B3EC0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0F65EA26" w14:textId="77777777" w:rsidR="006B3EC0" w:rsidRPr="00D827A6" w:rsidRDefault="006B3EC0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</w:tcPr>
          <w:p w14:paraId="53D45D64" w14:textId="77777777" w:rsidR="006B3EC0" w:rsidRPr="00D827A6" w:rsidRDefault="006B3EC0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150F97E7" w14:textId="77777777" w:rsidR="006B3EC0" w:rsidRPr="00D827A6" w:rsidRDefault="006B3EC0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</w:p>
        </w:tc>
      </w:tr>
      <w:tr w:rsidR="006B3EC0" w:rsidRPr="00D827A6" w14:paraId="6DE5FB64" w14:textId="77777777" w:rsidTr="00A620A1">
        <w:tc>
          <w:tcPr>
            <w:tcW w:w="0" w:type="auto"/>
          </w:tcPr>
          <w:p w14:paraId="3702253E" w14:textId="77777777" w:rsidR="006B3EC0" w:rsidRPr="00D827A6" w:rsidRDefault="006B3EC0" w:rsidP="00A620A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85B8BC5" w14:textId="77777777" w:rsidR="006B3EC0" w:rsidRPr="00D827A6" w:rsidRDefault="006B3EC0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First</w:t>
            </w:r>
          </w:p>
        </w:tc>
        <w:tc>
          <w:tcPr>
            <w:tcW w:w="0" w:type="auto"/>
          </w:tcPr>
          <w:p w14:paraId="1B0DF303" w14:textId="77777777" w:rsidR="006B3EC0" w:rsidRPr="00D827A6" w:rsidRDefault="006B3EC0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Middle</w:t>
            </w:r>
          </w:p>
        </w:tc>
        <w:tc>
          <w:tcPr>
            <w:tcW w:w="0" w:type="auto"/>
          </w:tcPr>
          <w:p w14:paraId="013089E5" w14:textId="77777777" w:rsidR="006B3EC0" w:rsidRPr="00D827A6" w:rsidRDefault="006B3EC0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Last</w:t>
            </w:r>
          </w:p>
        </w:tc>
        <w:tc>
          <w:tcPr>
            <w:tcW w:w="0" w:type="auto"/>
          </w:tcPr>
          <w:p w14:paraId="3E26B476" w14:textId="77777777" w:rsidR="006B3EC0" w:rsidRPr="00D827A6" w:rsidRDefault="006B3EC0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Suffix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E626FE" w14:paraId="33CE7773" w14:textId="77777777" w:rsidTr="00A620A1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013044DD" w14:textId="77777777" w:rsidR="00E626FE" w:rsidRDefault="00E626FE" w:rsidP="00A620A1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E626FE" w14:paraId="12D8C6AD" w14:textId="77777777" w:rsidTr="00A620A1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12C95438" w14:textId="77777777" w:rsidR="00E626FE" w:rsidRPr="0085750C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50B0945D" w14:textId="77777777" w:rsidR="00E626FE" w:rsidRPr="0085750C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213895D5" w14:textId="77777777" w:rsidR="00E626FE" w:rsidRPr="0085750C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E626FE" w14:paraId="461482E0" w14:textId="77777777" w:rsidTr="00A620A1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214A9A77" w14:textId="77777777" w:rsidR="00E626FE" w:rsidRDefault="00E626FE" w:rsidP="00A620A1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E626FE" w14:paraId="38A8BA06" w14:textId="77777777" w:rsidTr="00A620A1">
        <w:trPr>
          <w:gridAfter w:val="1"/>
          <w:wAfter w:w="10" w:type="dxa"/>
          <w:trHeight w:val="719"/>
        </w:trPr>
        <w:tc>
          <w:tcPr>
            <w:tcW w:w="5398" w:type="dxa"/>
          </w:tcPr>
          <w:p w14:paraId="1BED9555" w14:textId="77777777" w:rsidR="00E626FE" w:rsidRPr="0085750C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04869C13" w14:textId="77777777" w:rsidR="00E626FE" w:rsidRPr="0085750C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3B1E2F3D" w14:textId="77777777" w:rsidR="00E626FE" w:rsidRPr="0085750C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100702B1" w14:textId="77777777" w:rsidR="00E626FE" w:rsidRPr="0085750C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77FEF75F" w14:textId="77777777" w:rsidR="00E626FE" w:rsidRPr="0085750C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0B64E4C3" w14:textId="77777777" w:rsidR="00E626FE" w:rsidRPr="0085750C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E626FE" w:rsidRPr="00D827A6" w14:paraId="4AA39AA8" w14:textId="77777777" w:rsidTr="00A620A1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3BF53FF6" w14:textId="77777777" w:rsidR="00E626FE" w:rsidRPr="00D827A6" w:rsidRDefault="00E626FE" w:rsidP="00A620A1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E626FE" w:rsidRPr="00D827A6" w14:paraId="3230C752" w14:textId="77777777" w:rsidTr="00A620A1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0170F427" w14:textId="77777777" w:rsidR="00E626FE" w:rsidRPr="00D827A6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65533CD4" w14:textId="77777777" w:rsidR="00E626FE" w:rsidRPr="00D827A6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455187DA" w14:textId="77777777" w:rsidR="00E626FE" w:rsidRDefault="00E626FE" w:rsidP="00A620A1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63D59EA5" w14:textId="77777777" w:rsidR="00E626FE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153401BA" w14:textId="77777777" w:rsidR="00E626FE" w:rsidRPr="00D827A6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0732F1A0" w14:textId="77777777" w:rsidR="00E626FE" w:rsidRDefault="00E626FE" w:rsidP="00A620A1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486C2B51" w14:textId="77777777" w:rsidR="00E626FE" w:rsidRDefault="00E626FE" w:rsidP="00A620A1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78C691FF" w14:textId="77777777" w:rsidR="00E626FE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74DBE017" w14:textId="77777777" w:rsidR="00E626FE" w:rsidRPr="00D827A6" w:rsidRDefault="00E626FE" w:rsidP="00A620A1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626FE" w:rsidRPr="00D827A6" w14:paraId="100F466D" w14:textId="77777777" w:rsidTr="00A620A1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145B5D19" w14:textId="77777777" w:rsidR="00E626FE" w:rsidRPr="00D827A6" w:rsidRDefault="00E626FE" w:rsidP="00A620A1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E626FE" w:rsidRPr="00D827A6" w14:paraId="14F78F34" w14:textId="77777777" w:rsidTr="00A620A1">
        <w:trPr>
          <w:trHeight w:val="792"/>
        </w:trPr>
        <w:tc>
          <w:tcPr>
            <w:tcW w:w="5398" w:type="dxa"/>
            <w:hideMark/>
          </w:tcPr>
          <w:p w14:paraId="350D7BDF" w14:textId="77777777" w:rsidR="00E626FE" w:rsidRPr="00D827A6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6155DD4C" w14:textId="77777777" w:rsidR="00E626FE" w:rsidRPr="00D827A6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36178ACC" w14:textId="77777777" w:rsidR="00E626FE" w:rsidRPr="00D827A6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403473F3" w14:textId="77777777" w:rsidR="00E626FE" w:rsidRPr="00D827A6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375101D3" w14:textId="77777777" w:rsidR="00E626FE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39BFDF9B" w14:textId="77777777" w:rsidR="00E626FE" w:rsidRPr="00D827A6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10F222FD" w14:textId="77777777" w:rsidR="00E626FE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34350A0B" w14:textId="77777777" w:rsidR="00E626FE" w:rsidRPr="00D827A6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71CF226F" w14:textId="77777777" w:rsidR="00E626FE" w:rsidRPr="00B97D03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3268DF61" w14:textId="77777777" w:rsidR="00E626FE" w:rsidRPr="00D827A6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7C4E6B2B" w14:textId="77777777" w:rsidR="00E626FE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67725624" w14:textId="77777777" w:rsidR="00E626FE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285F974B" w14:textId="77777777" w:rsidR="00E626FE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763BE784" w14:textId="77777777" w:rsidR="00E626FE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732DB9E5" w14:textId="77777777" w:rsidR="00E626FE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3C418BA4" w14:textId="77777777" w:rsidR="00E626FE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3996D963" w14:textId="77777777" w:rsidR="00E626FE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6B1E7764" w14:textId="77777777" w:rsidR="00E626FE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0AD71BA9" w14:textId="77777777" w:rsidR="00E626FE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794CDE42" w14:textId="77777777" w:rsidR="00E626FE" w:rsidRPr="00D827A6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E626FE" w14:paraId="67F97768" w14:textId="77777777" w:rsidTr="00A620A1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783D6FDD" w14:textId="77777777" w:rsidR="00E626FE" w:rsidRPr="00D55AE6" w:rsidRDefault="00E626FE" w:rsidP="00A620A1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E626FE" w14:paraId="1D897F78" w14:textId="77777777" w:rsidTr="00A620A1">
        <w:trPr>
          <w:gridAfter w:val="1"/>
          <w:wAfter w:w="10" w:type="dxa"/>
          <w:trHeight w:val="719"/>
        </w:trPr>
        <w:tc>
          <w:tcPr>
            <w:tcW w:w="5398" w:type="dxa"/>
          </w:tcPr>
          <w:p w14:paraId="6866B003" w14:textId="77777777" w:rsidR="00E626FE" w:rsidRPr="0085750C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467B5E1F" w14:textId="77777777" w:rsidR="00E626FE" w:rsidRPr="0085750C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05D6AED8" w14:textId="77777777" w:rsidR="00E626FE" w:rsidRPr="0085750C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17FE574F" w14:textId="77777777" w:rsidR="00E626FE" w:rsidRPr="0085750C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13682614" w14:textId="77777777" w:rsidR="00E626FE" w:rsidRPr="0085750C" w:rsidRDefault="00E626FE" w:rsidP="00A620A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367EB226" w14:textId="77777777" w:rsidR="001279E0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81895D5" w14:textId="77777777" w:rsidR="00E626FE" w:rsidRDefault="00E626FE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960E0FD" w14:textId="77777777" w:rsidR="00E626FE" w:rsidRDefault="00E626FE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6BFAF8C" w14:textId="7238D56E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728F40B7" w14:textId="77777777" w:rsidR="006D2ACD" w:rsidRDefault="006D2ACD" w:rsidP="006D2ACD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DC9CF80" w14:textId="28314FC7" w:rsidR="006D2ACD" w:rsidRPr="00656F71" w:rsidRDefault="006D2ACD" w:rsidP="006D2ACD">
      <w:pPr>
        <w:spacing w:line="300" w:lineRule="auto"/>
        <w:rPr>
          <w:rFonts w:asciiTheme="minorHAnsi" w:eastAsia="Source Sans Pro" w:hAnsiTheme="minorHAnsi" w:cstheme="minorHAnsi"/>
          <w:b/>
          <w:szCs w:val="18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 w:rsidR="00656F71">
        <w:rPr>
          <w:rFonts w:asciiTheme="minorHAnsi" w:eastAsia="Source Sans Pro" w:hAnsiTheme="minorHAnsi" w:cstheme="minorHAnsi"/>
          <w:b/>
          <w:szCs w:val="18"/>
        </w:rPr>
        <w:t xml:space="preserve"> [Rapid ReHousing</w:t>
      </w:r>
      <w:r w:rsidR="00656F71" w:rsidRPr="001F342C">
        <w:rPr>
          <w:rFonts w:asciiTheme="minorHAnsi" w:eastAsia="Source Sans Pro" w:hAnsiTheme="minorHAnsi" w:cstheme="minorHAnsi"/>
          <w:b/>
          <w:szCs w:val="18"/>
        </w:rPr>
        <w:t xml:space="preserve"> Only]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6D2ACD" w:rsidRPr="00D271AE" w14:paraId="39760DB8" w14:textId="77777777" w:rsidTr="00BC2D9A">
        <w:tc>
          <w:tcPr>
            <w:tcW w:w="0" w:type="auto"/>
            <w:vAlign w:val="center"/>
          </w:tcPr>
          <w:p w14:paraId="022A3F17" w14:textId="77777777" w:rsidR="006D2ACD" w:rsidRPr="00D271AE" w:rsidRDefault="006D2ACD" w:rsidP="00BC2D9A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9C303D0" w14:textId="77777777" w:rsidR="006D2ACD" w:rsidRPr="005C01BB" w:rsidRDefault="006D2ACD" w:rsidP="00BC2D9A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00F91D72" w14:textId="77777777" w:rsidR="006D2ACD" w:rsidRPr="00EC0A68" w:rsidRDefault="006D2ACD" w:rsidP="006D2ACD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6D2ACD" w:rsidRPr="00D827A6" w14:paraId="58EE4554" w14:textId="77777777" w:rsidTr="00BC2D9A">
        <w:tc>
          <w:tcPr>
            <w:tcW w:w="0" w:type="auto"/>
          </w:tcPr>
          <w:p w14:paraId="6FEB4A78" w14:textId="77777777" w:rsidR="006D2ACD" w:rsidRPr="00D827A6" w:rsidRDefault="006D2ACD" w:rsidP="00BC2D9A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3094D64E" w14:textId="77777777" w:rsidR="006D2ACD" w:rsidRPr="00D827A6" w:rsidRDefault="006D2ACD" w:rsidP="00BC2D9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6323D1EE" w14:textId="77777777" w:rsidR="00CE4FA8" w:rsidRDefault="00CE4FA8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49EF208" w14:textId="6C96756D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39063B75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Client </w:t>
            </w:r>
            <w:r w:rsidR="00BF59E3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BF59E3" w:rsidRPr="00D827A6" w14:paraId="408ACA28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B999BE7" w14:textId="77777777" w:rsidR="00BF59E3" w:rsidRPr="00D827A6" w:rsidRDefault="00BF59E3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4EFEF510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60C424D" w14:textId="77777777" w:rsidR="00BF59E3" w:rsidRPr="00D827A6" w:rsidRDefault="00BF59E3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3F58557F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AD4B497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D20DB53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F59E3" w:rsidRPr="00D827A6" w14:paraId="1D2A9D78" w14:textId="77777777" w:rsidTr="00A620A1">
        <w:tc>
          <w:tcPr>
            <w:tcW w:w="0" w:type="auto"/>
          </w:tcPr>
          <w:p w14:paraId="277A338E" w14:textId="77777777" w:rsidR="00BF59E3" w:rsidRPr="00D827A6" w:rsidRDefault="00BF59E3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16188BF5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6BDE06A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D571500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0CDA0AE" w14:textId="77777777" w:rsidR="00BF59E3" w:rsidRPr="00D827A6" w:rsidRDefault="00BF59E3" w:rsidP="00A620A1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B99FA78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BF59E3" w:rsidRPr="00D827A6" w14:paraId="677653BD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6E7D033" w14:textId="77777777" w:rsidR="00BF59E3" w:rsidRPr="00D827A6" w:rsidRDefault="00BF59E3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062AF292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8A88DCD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554C53E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01FB837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BEABD8B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F59E3" w:rsidRPr="00D827A6" w14:paraId="39A87527" w14:textId="77777777" w:rsidTr="00A620A1">
        <w:tc>
          <w:tcPr>
            <w:tcW w:w="0" w:type="auto"/>
          </w:tcPr>
          <w:p w14:paraId="4177561F" w14:textId="77777777" w:rsidR="00BF59E3" w:rsidRPr="00D827A6" w:rsidRDefault="00BF59E3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1A2FC2A6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54B168C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CACD433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556C1D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121683B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F59E3" w:rsidRPr="00D827A6" w14:paraId="4AD3733F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A32B38" w14:textId="77777777" w:rsidR="00BF59E3" w:rsidRPr="00D827A6" w:rsidRDefault="00BF59E3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24BDB2DA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C830ED1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ADC358D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CFF42F5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7B877AA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F59E3" w:rsidRPr="00D827A6" w14:paraId="61C6BDCF" w14:textId="77777777" w:rsidTr="00A620A1">
        <w:tc>
          <w:tcPr>
            <w:tcW w:w="0" w:type="auto"/>
          </w:tcPr>
          <w:p w14:paraId="2CF92476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6CF87DE9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4033295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9B83700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B22CFAC" w14:textId="77777777" w:rsidR="00BF59E3" w:rsidRPr="00D827A6" w:rsidRDefault="00BF59E3" w:rsidP="00A620A1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185B6B3" w14:textId="77777777" w:rsidR="00BF59E3" w:rsidRPr="007C6766" w:rsidRDefault="00BF59E3" w:rsidP="00A620A1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11BEDA3B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BF59E3" w:rsidRPr="00D827A6" w14:paraId="7DC5AE98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06C86C4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7E7ADB80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A43B695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2C0605A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93D1797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7BECCDA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F59E3" w:rsidRPr="00D827A6" w14:paraId="77D3B021" w14:textId="77777777" w:rsidTr="00A620A1">
        <w:tc>
          <w:tcPr>
            <w:tcW w:w="0" w:type="auto"/>
          </w:tcPr>
          <w:p w14:paraId="23C7F089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4863803A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C3AFD59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E1615B9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04C449B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F0C573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F59E3" w:rsidRPr="00D827A6" w14:paraId="20E4A682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F18DCA6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47D58D1E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693964E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6FA2971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14BE9A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4E0D8A9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F59E3" w:rsidRPr="00D827A6" w14:paraId="5EFB69C2" w14:textId="77777777" w:rsidTr="00A620A1">
        <w:tc>
          <w:tcPr>
            <w:tcW w:w="0" w:type="auto"/>
          </w:tcPr>
          <w:p w14:paraId="7ED49E44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DC89D20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440A95E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FAE65B2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708042BD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38D4E24" w14:textId="77777777" w:rsidR="00BF59E3" w:rsidRPr="00D827A6" w:rsidRDefault="00BF59E3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98525E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1C662A10" w14:textId="14189408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D827A6" w14:paraId="0E572B01" w14:textId="77777777" w:rsidTr="00D075F3">
        <w:tc>
          <w:tcPr>
            <w:tcW w:w="0" w:type="auto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D827A6" w:rsidRDefault="00A4491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5DD21B3D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BF59E3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98525E" w:rsidRDefault="007249FD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12B16D86" w14:textId="77777777" w:rsidR="00292577" w:rsidRDefault="00292577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54BD5E50" w14:textId="77777777" w:rsidR="00292577" w:rsidRDefault="00292577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DA6293A" w14:textId="77777777" w:rsidR="00292577" w:rsidRDefault="00292577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2DB320E8" w14:textId="77777777" w:rsidR="00292577" w:rsidRDefault="00292577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AC5D794" w14:textId="77777777" w:rsidR="00292577" w:rsidRDefault="00292577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2E52070" w14:textId="77777777" w:rsidR="00292577" w:rsidRDefault="00292577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98790E8" w14:textId="62EC00BC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C76E9F" w:rsidRPr="00D827A6" w14:paraId="0847790E" w14:textId="77777777" w:rsidTr="00D075F3">
        <w:tc>
          <w:tcPr>
            <w:tcW w:w="0" w:type="auto"/>
          </w:tcPr>
          <w:p w14:paraId="4B28A2A1" w14:textId="1565FA3E" w:rsidR="00A57027" w:rsidRPr="00D827A6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77777777" w:rsidR="00A57027" w:rsidRPr="00D827A6" w:rsidRDefault="00A57027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27AC10BC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BF59E3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77777777" w:rsidR="002E4A1C" w:rsidRPr="00D827A6" w:rsidRDefault="002E4A1C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09F816DB" w:rsidR="002E4A1C" w:rsidRPr="00D827A6" w:rsidRDefault="002E4A1C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1394B4BB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7A17236D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504AA3D6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38934F51" w14:textId="5664A801" w:rsidR="000F0483" w:rsidRDefault="000F0483" w:rsidP="00A57027">
      <w:pPr>
        <w:tabs>
          <w:tab w:val="left" w:pos="4512"/>
        </w:tabs>
        <w:rPr>
          <w:rFonts w:asciiTheme="minorHAnsi" w:hAnsiTheme="minorHAnsi" w:cstheme="minorHAnsi"/>
        </w:rPr>
      </w:pPr>
    </w:p>
    <w:bookmarkEnd w:id="0"/>
    <w:bookmarkEnd w:id="1"/>
    <w:p w14:paraId="5CDDD1C2" w14:textId="237F749F" w:rsidR="00F031C4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6383E623" w14:textId="77777777" w:rsidR="00516058" w:rsidRPr="00AE742E" w:rsidRDefault="00516058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516058" w:rsidRPr="00AE742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FC17D" w14:textId="77777777" w:rsidR="00B4006E" w:rsidRDefault="00B4006E">
      <w:pPr>
        <w:spacing w:line="240" w:lineRule="auto"/>
      </w:pPr>
      <w:r>
        <w:separator/>
      </w:r>
    </w:p>
  </w:endnote>
  <w:endnote w:type="continuationSeparator" w:id="0">
    <w:p w14:paraId="2F9C49D0" w14:textId="77777777" w:rsidR="00B4006E" w:rsidRDefault="00B4006E">
      <w:pPr>
        <w:spacing w:line="240" w:lineRule="auto"/>
      </w:pPr>
      <w:r>
        <w:continuationSeparator/>
      </w:r>
    </w:p>
  </w:endnote>
  <w:endnote w:type="continuationNotice" w:id="1">
    <w:p w14:paraId="3D7542F6" w14:textId="77777777" w:rsidR="00B4006E" w:rsidRDefault="00B4006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212ECE3C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79759E">
      <w:rPr>
        <w:rFonts w:asciiTheme="minorHAnsi" w:hAnsiTheme="minorHAnsi" w:cstheme="minorHAnsi"/>
        <w:color w:val="808080" w:themeColor="background1" w:themeShade="80"/>
        <w:sz w:val="14"/>
        <w:szCs w:val="14"/>
      </w:rPr>
      <w:t>MHTF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715FB5">
      <w:rPr>
        <w:rFonts w:asciiTheme="minorHAnsi" w:hAnsiTheme="minorHAnsi" w:cstheme="minorHAnsi"/>
        <w:color w:val="808080" w:themeColor="background1" w:themeShade="80"/>
        <w:sz w:val="14"/>
        <w:szCs w:val="14"/>
      </w:rPr>
      <w:t>Exit</w:t>
    </w:r>
    <w:r w:rsidR="00321E8C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BF59E3">
      <w:rPr>
        <w:rFonts w:asciiTheme="minorHAnsi" w:hAnsiTheme="minorHAnsi" w:cstheme="minorHAnsi"/>
        <w:color w:val="808080" w:themeColor="background1" w:themeShade="80"/>
        <w:sz w:val="14"/>
        <w:szCs w:val="14"/>
      </w:rPr>
      <w:t>HP/</w:t>
    </w:r>
    <w:r w:rsidR="00321E8C">
      <w:rPr>
        <w:rFonts w:asciiTheme="minorHAnsi" w:hAnsiTheme="minorHAnsi" w:cstheme="minorHAnsi"/>
        <w:color w:val="808080" w:themeColor="background1" w:themeShade="80"/>
        <w:sz w:val="14"/>
        <w:szCs w:val="14"/>
      </w:rPr>
      <w:t>RRH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C12221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168E72EC" w14:textId="3812E960" w:rsidR="00C12221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C12221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C12221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10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C12221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49895" w14:textId="77777777" w:rsidR="00B4006E" w:rsidRDefault="00B4006E">
      <w:pPr>
        <w:spacing w:line="240" w:lineRule="auto"/>
      </w:pPr>
      <w:r>
        <w:separator/>
      </w:r>
    </w:p>
  </w:footnote>
  <w:footnote w:type="continuationSeparator" w:id="0">
    <w:p w14:paraId="2436CF0D" w14:textId="77777777" w:rsidR="00B4006E" w:rsidRDefault="00B4006E">
      <w:pPr>
        <w:spacing w:line="240" w:lineRule="auto"/>
      </w:pPr>
      <w:r>
        <w:continuationSeparator/>
      </w:r>
    </w:p>
  </w:footnote>
  <w:footnote w:type="continuationNotice" w:id="1">
    <w:p w14:paraId="73C6811C" w14:textId="77777777" w:rsidR="00B4006E" w:rsidRDefault="00B4006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77503428">
    <w:abstractNumId w:val="2"/>
  </w:num>
  <w:num w:numId="2" w16cid:durableId="1735086924">
    <w:abstractNumId w:val="0"/>
  </w:num>
  <w:num w:numId="3" w16cid:durableId="2117867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77B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2CC3"/>
    <w:rsid w:val="00056247"/>
    <w:rsid w:val="00061DFF"/>
    <w:rsid w:val="0006771C"/>
    <w:rsid w:val="00067ED0"/>
    <w:rsid w:val="00071996"/>
    <w:rsid w:val="00073790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0F2760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1F17FD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2577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12FD"/>
    <w:rsid w:val="00321E8C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2E0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347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56F71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B3EC0"/>
    <w:rsid w:val="006C13C9"/>
    <w:rsid w:val="006D23E1"/>
    <w:rsid w:val="006D2ACD"/>
    <w:rsid w:val="006D4D57"/>
    <w:rsid w:val="006E2497"/>
    <w:rsid w:val="006E6BD5"/>
    <w:rsid w:val="006F025A"/>
    <w:rsid w:val="006F239B"/>
    <w:rsid w:val="006F36F9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9759E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7F684B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3707A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26F1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06E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59E3"/>
    <w:rsid w:val="00BF703F"/>
    <w:rsid w:val="00C065DA"/>
    <w:rsid w:val="00C10CC2"/>
    <w:rsid w:val="00C11629"/>
    <w:rsid w:val="00C12221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E4FA8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1ADA"/>
    <w:rsid w:val="00DF6DCA"/>
    <w:rsid w:val="00E10302"/>
    <w:rsid w:val="00E1034A"/>
    <w:rsid w:val="00E12D80"/>
    <w:rsid w:val="00E141D1"/>
    <w:rsid w:val="00E341FD"/>
    <w:rsid w:val="00E3437C"/>
    <w:rsid w:val="00E36ECE"/>
    <w:rsid w:val="00E618C5"/>
    <w:rsid w:val="00E626FE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E358A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AE498-9E29-4B75-96A8-232437E34456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30968325-3E48-473A-8F35-C31BF6B526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026076-2C53-470B-B175-5BE4DE943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Belle Delacruz-Lysell</cp:lastModifiedBy>
  <cp:revision>8</cp:revision>
  <cp:lastPrinted>2016-08-15T19:54:00Z</cp:lastPrinted>
  <dcterms:created xsi:type="dcterms:W3CDTF">2023-09-07T21:03:00Z</dcterms:created>
  <dcterms:modified xsi:type="dcterms:W3CDTF">2025-09-10T19:07:00Z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27985100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